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51FA7"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0A1034D" w:rsidR="006D3771" w:rsidRPr="008B6B20" w:rsidRDefault="00833AA1" w:rsidP="006D3771">
            <w:pPr>
              <w:jc w:val="center"/>
              <w:rPr>
                <w:sz w:val="32"/>
                <w:szCs w:val="32"/>
                <w:lang w:val="en-GB"/>
              </w:rPr>
            </w:pPr>
            <w:r>
              <w:rPr>
                <w:sz w:val="32"/>
                <w:szCs w:val="32"/>
                <w:lang w:val="en-GB"/>
              </w:rPr>
              <w:t>Germany</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4347BD75" w:rsidR="008B6B20" w:rsidRPr="00574B1E" w:rsidRDefault="00000000" w:rsidP="008B6B20">
      <w:pPr>
        <w:rPr>
          <w:rFonts w:ascii="Calibri" w:hAnsi="Calibri" w:cs="Calibri"/>
          <w:lang w:val="en-US"/>
        </w:rPr>
      </w:pPr>
      <w:hyperlink r:id="rId11" w:history="1">
        <w:r w:rsidR="00833AA1">
          <w:rPr>
            <w:rStyle w:val="Hyperlink"/>
            <w:rFonts w:ascii="Calibri" w:hAnsi="Calibri" w:cs="Calibri"/>
            <w:lang w:val="en-US"/>
          </w:rPr>
          <w:t>CEPEJ Evaluation Report - Country Profiles – Germany</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396C7263"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833AA1">
          <w:rPr>
            <w:rStyle w:val="Hyperlink"/>
            <w:rFonts w:ascii="Calibri" w:hAnsi="Calibri" w:cs="Calibri"/>
            <w:lang w:val="en-US"/>
          </w:rPr>
          <w:t>CEPEJ Country fiche - Scoreboard - Germany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315E24BF" w14:textId="77777777" w:rsidR="00151956" w:rsidRDefault="00151956" w:rsidP="00151956">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151956">
        <w:rPr>
          <w:rFonts w:ascii="Calibri Light" w:eastAsia="Times New Roman" w:hAnsi="Calibri Light" w:cs="Calibri Light"/>
          <w:color w:val="2F5496"/>
          <w:kern w:val="36"/>
          <w:sz w:val="32"/>
          <w:szCs w:val="32"/>
          <w:lang w:val="en-US"/>
        </w:rPr>
        <w:t>II Anti-corruption framework</w:t>
      </w:r>
      <w:bookmarkEnd w:id="0"/>
      <w:r w:rsidRPr="00151956">
        <w:rPr>
          <w:rFonts w:ascii="Calibri Light" w:eastAsia="Times New Roman" w:hAnsi="Calibri Light" w:cs="Calibri Light"/>
          <w:color w:val="2F5496"/>
          <w:kern w:val="36"/>
          <w:sz w:val="32"/>
          <w:szCs w:val="32"/>
          <w:lang w:val="en-US"/>
        </w:rPr>
        <w:t xml:space="preserve"> </w:t>
      </w:r>
    </w:p>
    <w:p w14:paraId="722A6F33" w14:textId="77777777" w:rsidR="006C5958" w:rsidRPr="00151956" w:rsidRDefault="006C5958" w:rsidP="00151956">
      <w:pPr>
        <w:keepNext/>
        <w:spacing w:before="320"/>
        <w:outlineLvl w:val="0"/>
        <w:rPr>
          <w:rFonts w:ascii="Calibri Light" w:eastAsia="Times New Roman" w:hAnsi="Calibri Light" w:cs="Calibri Light"/>
          <w:color w:val="2F5496"/>
          <w:kern w:val="36"/>
          <w:sz w:val="32"/>
          <w:szCs w:val="32"/>
          <w:lang w:val="en-US"/>
        </w:rPr>
      </w:pPr>
    </w:p>
    <w:p w14:paraId="59A863D2" w14:textId="77777777" w:rsidR="006C5958" w:rsidRDefault="006C5958" w:rsidP="006C5958">
      <w:pPr>
        <w:rPr>
          <w:lang w:val="en-US"/>
        </w:rPr>
      </w:pPr>
      <w:r>
        <w:rPr>
          <w:lang w:val="en-US"/>
        </w:rPr>
        <w:t>GRECO (8 July 2024)</w:t>
      </w:r>
    </w:p>
    <w:p w14:paraId="2C0A62E8" w14:textId="77777777" w:rsidR="006C5958" w:rsidRDefault="00000000" w:rsidP="006C5958">
      <w:pPr>
        <w:rPr>
          <w:lang w:val="en-US"/>
        </w:rPr>
      </w:pPr>
      <w:hyperlink r:id="rId14" w:history="1">
        <w:r w:rsidR="006C5958" w:rsidRPr="0066239C">
          <w:rPr>
            <w:rStyle w:val="Hyperlink"/>
            <w:lang w:val="en-US"/>
          </w:rPr>
          <w:t>Addendum to the Second Compliance Report</w:t>
        </w:r>
      </w:hyperlink>
    </w:p>
    <w:p w14:paraId="25811C2D" w14:textId="77777777" w:rsidR="006C5958" w:rsidRDefault="006C5958" w:rsidP="006C5958">
      <w:pPr>
        <w:rPr>
          <w:lang w:val="en-GB"/>
        </w:rPr>
      </w:pPr>
      <w:r>
        <w:rPr>
          <w:lang w:val="en-GB"/>
        </w:rPr>
        <w:t>4</w:t>
      </w:r>
      <w:r w:rsidRPr="0066239C">
        <w:rPr>
          <w:vertAlign w:val="superscript"/>
          <w:lang w:val="en-GB"/>
        </w:rPr>
        <w:t>th</w:t>
      </w:r>
      <w:r>
        <w:rPr>
          <w:lang w:val="en-GB"/>
        </w:rPr>
        <w:t xml:space="preserve"> round: </w:t>
      </w:r>
      <w:r w:rsidRPr="0066239C">
        <w:rPr>
          <w:lang w:val="en-GB"/>
        </w:rPr>
        <w:t>Prevention of corruption in respect of members of parliament, judges and prosecutors</w:t>
      </w:r>
    </w:p>
    <w:p w14:paraId="4F20A645" w14:textId="77777777" w:rsidR="00FF60AC" w:rsidRDefault="00FF60AC" w:rsidP="006C5958">
      <w:pPr>
        <w:rPr>
          <w:lang w:val="en-GB"/>
        </w:rPr>
      </w:pPr>
    </w:p>
    <w:p w14:paraId="7C843291" w14:textId="77777777" w:rsidR="00FF60AC" w:rsidRDefault="00FF60AC" w:rsidP="006C5958">
      <w:pPr>
        <w:rPr>
          <w:lang w:val="en-GB"/>
        </w:rPr>
      </w:pPr>
    </w:p>
    <w:p w14:paraId="46E43717" w14:textId="77777777" w:rsidR="00FF60AC" w:rsidRDefault="00FF60AC" w:rsidP="006C5958">
      <w:pPr>
        <w:rPr>
          <w:lang w:val="en-GB"/>
        </w:rPr>
      </w:pPr>
    </w:p>
    <w:p w14:paraId="3590537B" w14:textId="77777777" w:rsidR="00FF60AC" w:rsidRDefault="00FF60AC" w:rsidP="006C5958">
      <w:pPr>
        <w:rPr>
          <w:lang w:val="en-GB"/>
        </w:rPr>
      </w:pPr>
    </w:p>
    <w:p w14:paraId="1BC65A5D" w14:textId="77777777" w:rsidR="00FF60AC" w:rsidRPr="00F51FA7" w:rsidRDefault="00FF60AC" w:rsidP="00FF60AC">
      <w:pPr>
        <w:pStyle w:val="NoSpacing"/>
        <w:rPr>
          <w:rFonts w:ascii="Calibri" w:hAnsi="Calibri" w:cs="Calibri"/>
          <w:color w:val="161616"/>
          <w:lang w:val="it-IT"/>
        </w:rPr>
      </w:pPr>
      <w:r w:rsidRPr="00F51FA7">
        <w:rPr>
          <w:rFonts w:ascii="Calibri" w:hAnsi="Calibri" w:cs="Calibri"/>
          <w:color w:val="161616"/>
          <w:lang w:val="it-IT"/>
        </w:rPr>
        <w:lastRenderedPageBreak/>
        <w:t xml:space="preserve">MONEYVAL </w:t>
      </w:r>
    </w:p>
    <w:p w14:paraId="23855A95" w14:textId="77777777" w:rsidR="00FF60AC" w:rsidRPr="00F51FA7" w:rsidRDefault="00FF60AC" w:rsidP="00FF60AC">
      <w:pPr>
        <w:pStyle w:val="NoSpacing"/>
        <w:rPr>
          <w:rFonts w:ascii="Calibri" w:hAnsi="Calibri" w:cs="Calibri"/>
          <w:color w:val="161616"/>
          <w:lang w:val="it-IT"/>
        </w:rPr>
      </w:pPr>
      <w:r w:rsidRPr="00F51FA7">
        <w:rPr>
          <w:rFonts w:ascii="Calibri" w:hAnsi="Calibri" w:cs="Calibri"/>
          <w:color w:val="161616"/>
          <w:lang w:val="it-IT"/>
        </w:rPr>
        <w:t xml:space="preserve">N/A </w:t>
      </w:r>
    </w:p>
    <w:p w14:paraId="4DF0D3D4" w14:textId="77777777" w:rsidR="00FF60AC" w:rsidRPr="00F51FA7" w:rsidRDefault="00FF60AC" w:rsidP="00FF60AC">
      <w:pPr>
        <w:pStyle w:val="NoSpacing"/>
        <w:rPr>
          <w:rFonts w:ascii="Calibri" w:hAnsi="Calibri" w:cs="Calibri"/>
          <w:color w:val="161616"/>
          <w:lang w:val="it-IT"/>
        </w:rPr>
      </w:pPr>
    </w:p>
    <w:p w14:paraId="2AFB53B8" w14:textId="77777777" w:rsidR="00FF60AC" w:rsidRPr="00F51FA7" w:rsidRDefault="00FF60AC" w:rsidP="00FF60AC">
      <w:pPr>
        <w:pStyle w:val="NoSpacing"/>
        <w:rPr>
          <w:rFonts w:ascii="Calibri" w:hAnsi="Calibri" w:cs="Calibri"/>
          <w:color w:val="161616"/>
          <w:lang w:val="it-IT"/>
        </w:rPr>
      </w:pPr>
      <w:r w:rsidRPr="00F51FA7">
        <w:rPr>
          <w:rFonts w:ascii="Calibri" w:hAnsi="Calibri" w:cs="Calibri"/>
          <w:color w:val="161616"/>
          <w:lang w:val="it-IT"/>
        </w:rPr>
        <w:t xml:space="preserve">COP 198 </w:t>
      </w:r>
    </w:p>
    <w:p w14:paraId="06C77C4F" w14:textId="77777777" w:rsidR="00FF60AC" w:rsidRPr="00F51FA7" w:rsidRDefault="00FF60AC" w:rsidP="00FF60AC">
      <w:pPr>
        <w:pStyle w:val="NoSpacing"/>
        <w:rPr>
          <w:rFonts w:ascii="Calibri" w:hAnsi="Calibri" w:cs="Calibri"/>
          <w:color w:val="161616"/>
          <w:lang w:val="it-IT"/>
        </w:rPr>
      </w:pPr>
      <w:r w:rsidRPr="00F51FA7">
        <w:rPr>
          <w:rFonts w:ascii="Calibri" w:hAnsi="Calibri" w:cs="Calibri"/>
          <w:color w:val="161616"/>
          <w:lang w:val="it-IT"/>
        </w:rPr>
        <w:t>N/A</w:t>
      </w:r>
    </w:p>
    <w:p w14:paraId="22DD3852" w14:textId="77777777" w:rsidR="00FF60AC" w:rsidRPr="00F51FA7" w:rsidRDefault="00FF60AC" w:rsidP="006C5958">
      <w:pPr>
        <w:rPr>
          <w:lang w:val="it-IT"/>
        </w:rPr>
      </w:pPr>
    </w:p>
    <w:p w14:paraId="03B46FC8"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p>
    <w:p w14:paraId="3C310E91"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p>
    <w:p w14:paraId="4108B262"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p>
    <w:p w14:paraId="05B02E0D"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bookmarkStart w:id="1" w:name="_Toc36635845"/>
      <w:r w:rsidRPr="00F51FA7">
        <w:rPr>
          <w:rFonts w:ascii="Calibri Light" w:eastAsia="Times New Roman" w:hAnsi="Calibri Light" w:cs="Calibri Light"/>
          <w:color w:val="2F5496"/>
          <w:kern w:val="36"/>
          <w:sz w:val="32"/>
          <w:szCs w:val="32"/>
          <w:lang w:val="it-IT"/>
        </w:rPr>
        <w:t>III Media pluralism</w:t>
      </w:r>
      <w:bookmarkEnd w:id="1"/>
      <w:r w:rsidRPr="00F51FA7">
        <w:rPr>
          <w:rFonts w:ascii="Calibri Light" w:eastAsia="Times New Roman" w:hAnsi="Calibri Light" w:cs="Calibri Light"/>
          <w:color w:val="2F5496"/>
          <w:kern w:val="36"/>
          <w:sz w:val="32"/>
          <w:szCs w:val="32"/>
          <w:lang w:val="it-IT"/>
        </w:rPr>
        <w:t xml:space="preserve"> </w:t>
      </w:r>
    </w:p>
    <w:p w14:paraId="52E35109"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p>
    <w:p w14:paraId="75A89577" w14:textId="77777777" w:rsidR="00151956" w:rsidRPr="00F51FA7" w:rsidRDefault="00151956" w:rsidP="00151956">
      <w:pPr>
        <w:keepNext/>
        <w:spacing w:before="320"/>
        <w:outlineLvl w:val="0"/>
        <w:rPr>
          <w:rFonts w:ascii="Calibri Light" w:eastAsia="Times New Roman" w:hAnsi="Calibri Light" w:cs="Calibri Light"/>
          <w:color w:val="2F5496"/>
          <w:kern w:val="36"/>
          <w:sz w:val="32"/>
          <w:szCs w:val="32"/>
          <w:lang w:val="it-IT"/>
        </w:rPr>
      </w:pPr>
    </w:p>
    <w:p w14:paraId="5F7AF635" w14:textId="77777777" w:rsidR="00151956" w:rsidRDefault="00151956" w:rsidP="00151956">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151956">
        <w:rPr>
          <w:rFonts w:ascii="Calibri Light" w:eastAsia="Times New Roman" w:hAnsi="Calibri Light" w:cs="Calibri Light"/>
          <w:color w:val="2F5496"/>
          <w:kern w:val="36"/>
          <w:sz w:val="32"/>
          <w:szCs w:val="32"/>
          <w:lang w:val="en-US"/>
        </w:rPr>
        <w:t>IV Other institutional issues related to checks and balances</w:t>
      </w:r>
      <w:bookmarkEnd w:id="2"/>
      <w:r w:rsidRPr="00151956">
        <w:rPr>
          <w:rFonts w:ascii="Calibri Light" w:eastAsia="Times New Roman" w:hAnsi="Calibri Light" w:cs="Calibri Light"/>
          <w:color w:val="2F5496"/>
          <w:kern w:val="36"/>
          <w:sz w:val="32"/>
          <w:szCs w:val="32"/>
          <w:lang w:val="en-US"/>
        </w:rPr>
        <w:t xml:space="preserve"> </w:t>
      </w:r>
    </w:p>
    <w:p w14:paraId="7AA9465F" w14:textId="1C4AD8C7" w:rsidR="00F51FA7" w:rsidRPr="00F51FA7" w:rsidRDefault="00F51FA7" w:rsidP="00151956">
      <w:pPr>
        <w:keepNext/>
        <w:spacing w:before="320"/>
        <w:outlineLvl w:val="0"/>
        <w:rPr>
          <w:rFonts w:eastAsiaTheme="minorHAnsi" w:cstheme="minorHAnsi"/>
          <w:lang w:val="en-US"/>
        </w:rPr>
      </w:pPr>
      <w:r w:rsidRPr="00F51FA7">
        <w:rPr>
          <w:rFonts w:eastAsiaTheme="minorHAnsi" w:cstheme="minorHAnsi"/>
          <w:lang w:val="en-US"/>
        </w:rPr>
        <w:t xml:space="preserve">Venice Commission </w:t>
      </w:r>
    </w:p>
    <w:p w14:paraId="31EBAF4A" w14:textId="77777777" w:rsidR="00151956" w:rsidRDefault="00151956">
      <w:pPr>
        <w:rPr>
          <w:rFonts w:cs="Arial"/>
          <w:color w:val="FFFFFF" w:themeColor="background1"/>
          <w:sz w:val="22"/>
          <w:szCs w:val="22"/>
          <w:shd w:val="clear" w:color="auto" w:fill="1F3864" w:themeFill="accent1" w:themeFillShade="80"/>
          <w:lang w:val="en-US"/>
        </w:rPr>
      </w:pPr>
    </w:p>
    <w:p w14:paraId="4DA81E8B" w14:textId="77777777" w:rsidR="00F51FA7" w:rsidRPr="00EA1B1F" w:rsidRDefault="00F51FA7" w:rsidP="00F51FA7">
      <w:pPr>
        <w:pStyle w:val="Default"/>
        <w:jc w:val="both"/>
        <w:rPr>
          <w:rFonts w:asciiTheme="minorHAnsi" w:hAnsiTheme="minorHAnsi" w:cstheme="minorHAnsi"/>
          <w:color w:val="auto"/>
          <w:sz w:val="20"/>
          <w:szCs w:val="20"/>
          <w:lang w:val="en-US"/>
        </w:rPr>
      </w:pPr>
      <w:hyperlink r:id="rId15" w:history="1">
        <w:r w:rsidRPr="00DF6D88">
          <w:rPr>
            <w:rStyle w:val="Hyperlink"/>
            <w:rFonts w:asciiTheme="minorHAnsi" w:hAnsiTheme="minorHAnsi" w:cstheme="minorHAnsi"/>
            <w:sz w:val="20"/>
            <w:szCs w:val="20"/>
            <w:lang w:val="en-US"/>
          </w:rPr>
          <w:t>CDL-</w:t>
        </w:r>
        <w:proofErr w:type="gramStart"/>
        <w:r w:rsidRPr="00DF6D88">
          <w:rPr>
            <w:rStyle w:val="Hyperlink"/>
            <w:rFonts w:asciiTheme="minorHAnsi" w:hAnsiTheme="minorHAnsi" w:cstheme="minorHAnsi"/>
            <w:sz w:val="20"/>
            <w:szCs w:val="20"/>
            <w:lang w:val="en-US"/>
          </w:rPr>
          <w:t>PI(</w:t>
        </w:r>
        <w:proofErr w:type="gramEnd"/>
        <w:r w:rsidRPr="00DF6D88">
          <w:rPr>
            <w:rStyle w:val="Hyperlink"/>
            <w:rFonts w:asciiTheme="minorHAnsi" w:hAnsiTheme="minorHAnsi" w:cstheme="minorHAnsi"/>
            <w:sz w:val="20"/>
            <w:szCs w:val="20"/>
            <w:lang w:val="en-US"/>
          </w:rPr>
          <w:t>2024)031</w:t>
        </w:r>
      </w:hyperlink>
    </w:p>
    <w:p w14:paraId="45A8A62B" w14:textId="77777777" w:rsidR="00F51FA7" w:rsidRPr="00EA1B1F" w:rsidRDefault="00F51FA7" w:rsidP="00F51FA7">
      <w:pPr>
        <w:pStyle w:val="Default"/>
        <w:ind w:left="12"/>
        <w:jc w:val="both"/>
        <w:rPr>
          <w:rFonts w:asciiTheme="minorHAnsi" w:hAnsiTheme="minorHAnsi" w:cstheme="minorHAnsi"/>
          <w:color w:val="auto"/>
          <w:sz w:val="20"/>
          <w:szCs w:val="20"/>
          <w:lang w:val="en-US"/>
        </w:rPr>
      </w:pPr>
      <w:r w:rsidRPr="00EA1B1F">
        <w:rPr>
          <w:rFonts w:asciiTheme="minorHAnsi" w:hAnsiTheme="minorHAnsi" w:cstheme="minorHAnsi"/>
          <w:color w:val="auto"/>
          <w:sz w:val="20"/>
          <w:szCs w:val="20"/>
          <w:lang w:val="en-US"/>
        </w:rPr>
        <w:t>Information on the follow-up to the Joint Opinion of the Venice Commission and OSCE/ODIHR on the amendments of the German Federal Election Act (CDL-</w:t>
      </w:r>
      <w:proofErr w:type="gramStart"/>
      <w:r w:rsidRPr="00EA1B1F">
        <w:rPr>
          <w:rFonts w:asciiTheme="minorHAnsi" w:hAnsiTheme="minorHAnsi" w:cstheme="minorHAnsi"/>
          <w:color w:val="auto"/>
          <w:sz w:val="20"/>
          <w:szCs w:val="20"/>
          <w:lang w:val="en-US"/>
        </w:rPr>
        <w:t>AD(</w:t>
      </w:r>
      <w:proofErr w:type="gramEnd"/>
      <w:r w:rsidRPr="00EA1B1F">
        <w:rPr>
          <w:rFonts w:asciiTheme="minorHAnsi" w:hAnsiTheme="minorHAnsi" w:cstheme="minorHAnsi"/>
          <w:color w:val="auto"/>
          <w:sz w:val="20"/>
          <w:szCs w:val="20"/>
          <w:lang w:val="en-US"/>
        </w:rPr>
        <w:t>2023)020), presented at the 140th Plenary Session (Venice, 11-12 October 2024)</w:t>
      </w:r>
    </w:p>
    <w:p w14:paraId="60F5B831" w14:textId="77777777" w:rsidR="00F51FA7" w:rsidRPr="008B6B20" w:rsidRDefault="00F51FA7">
      <w:pPr>
        <w:rPr>
          <w:rFonts w:cs="Arial"/>
          <w:color w:val="FFFFFF" w:themeColor="background1"/>
          <w:sz w:val="22"/>
          <w:szCs w:val="22"/>
          <w:shd w:val="clear" w:color="auto" w:fill="1F3864" w:themeFill="accent1" w:themeFillShade="80"/>
          <w:lang w:val="en-US"/>
        </w:rPr>
      </w:pPr>
    </w:p>
    <w:sectPr w:rsidR="00F51FA7" w:rsidRPr="008B6B20" w:rsidSect="007B3B82">
      <w:footerReference w:type="defaul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78A7" w14:textId="77777777" w:rsidR="00D63C1C" w:rsidRDefault="00D63C1C" w:rsidP="00857FF1">
      <w:r>
        <w:separator/>
      </w:r>
    </w:p>
  </w:endnote>
  <w:endnote w:type="continuationSeparator" w:id="0">
    <w:p w14:paraId="69C87E5B" w14:textId="77777777" w:rsidR="00D63C1C" w:rsidRDefault="00D63C1C"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9DCCC" w14:textId="77777777" w:rsidR="00D63C1C" w:rsidRDefault="00D63C1C" w:rsidP="00857FF1">
      <w:r>
        <w:separator/>
      </w:r>
    </w:p>
  </w:footnote>
  <w:footnote w:type="continuationSeparator" w:id="0">
    <w:p w14:paraId="5D243747" w14:textId="77777777" w:rsidR="00D63C1C" w:rsidRDefault="00D63C1C"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5205"/>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1956"/>
    <w:rsid w:val="00152FC1"/>
    <w:rsid w:val="00157DFE"/>
    <w:rsid w:val="001621AD"/>
    <w:rsid w:val="00167680"/>
    <w:rsid w:val="001708DF"/>
    <w:rsid w:val="00172847"/>
    <w:rsid w:val="00184BFB"/>
    <w:rsid w:val="00185603"/>
    <w:rsid w:val="00187CD1"/>
    <w:rsid w:val="00194CC7"/>
    <w:rsid w:val="001A0B36"/>
    <w:rsid w:val="001A0CF1"/>
    <w:rsid w:val="001C1D68"/>
    <w:rsid w:val="001C77D8"/>
    <w:rsid w:val="001D0AE0"/>
    <w:rsid w:val="001E0EB7"/>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71625"/>
    <w:rsid w:val="00491D94"/>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401C"/>
    <w:rsid w:val="00680789"/>
    <w:rsid w:val="00683C6A"/>
    <w:rsid w:val="006871F9"/>
    <w:rsid w:val="006952AF"/>
    <w:rsid w:val="0069684E"/>
    <w:rsid w:val="006B6601"/>
    <w:rsid w:val="006C5958"/>
    <w:rsid w:val="006C5AF1"/>
    <w:rsid w:val="006C758C"/>
    <w:rsid w:val="006D3771"/>
    <w:rsid w:val="006D695E"/>
    <w:rsid w:val="00702CE9"/>
    <w:rsid w:val="007323D4"/>
    <w:rsid w:val="00734D8B"/>
    <w:rsid w:val="00742FA8"/>
    <w:rsid w:val="00744D22"/>
    <w:rsid w:val="00756962"/>
    <w:rsid w:val="0076072F"/>
    <w:rsid w:val="0076444E"/>
    <w:rsid w:val="00772288"/>
    <w:rsid w:val="00776151"/>
    <w:rsid w:val="007959C1"/>
    <w:rsid w:val="007A270E"/>
    <w:rsid w:val="007B3B82"/>
    <w:rsid w:val="007D198D"/>
    <w:rsid w:val="007D262D"/>
    <w:rsid w:val="007E2BE3"/>
    <w:rsid w:val="007F2A4E"/>
    <w:rsid w:val="007F352D"/>
    <w:rsid w:val="008131ED"/>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D211A"/>
    <w:rsid w:val="00BD26EA"/>
    <w:rsid w:val="00BD530E"/>
    <w:rsid w:val="00BE1EE0"/>
    <w:rsid w:val="00BE2ADB"/>
    <w:rsid w:val="00BF5595"/>
    <w:rsid w:val="00C003A4"/>
    <w:rsid w:val="00C06969"/>
    <w:rsid w:val="00C06D56"/>
    <w:rsid w:val="00C45527"/>
    <w:rsid w:val="00C501B7"/>
    <w:rsid w:val="00C5444D"/>
    <w:rsid w:val="00C6182C"/>
    <w:rsid w:val="00C75135"/>
    <w:rsid w:val="00C848FF"/>
    <w:rsid w:val="00C86F4B"/>
    <w:rsid w:val="00CC09C0"/>
    <w:rsid w:val="00CC0E4F"/>
    <w:rsid w:val="00CC5ABF"/>
    <w:rsid w:val="00CD24F2"/>
    <w:rsid w:val="00CD7F9C"/>
    <w:rsid w:val="00CF0660"/>
    <w:rsid w:val="00CF1C6F"/>
    <w:rsid w:val="00D1271E"/>
    <w:rsid w:val="00D15B02"/>
    <w:rsid w:val="00D1779A"/>
    <w:rsid w:val="00D20872"/>
    <w:rsid w:val="00D31EA3"/>
    <w:rsid w:val="00D36177"/>
    <w:rsid w:val="00D37016"/>
    <w:rsid w:val="00D447C9"/>
    <w:rsid w:val="00D45CD6"/>
    <w:rsid w:val="00D63C1C"/>
    <w:rsid w:val="00D66D1D"/>
    <w:rsid w:val="00D96E9B"/>
    <w:rsid w:val="00DA55DC"/>
    <w:rsid w:val="00DB1AB7"/>
    <w:rsid w:val="00DC7320"/>
    <w:rsid w:val="00DD5C43"/>
    <w:rsid w:val="00DF19D6"/>
    <w:rsid w:val="00DF7C08"/>
    <w:rsid w:val="00E13798"/>
    <w:rsid w:val="00E147EE"/>
    <w:rsid w:val="00E2087D"/>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51FA7"/>
    <w:rsid w:val="00F5679C"/>
    <w:rsid w:val="00F71177"/>
    <w:rsid w:val="00F7793C"/>
    <w:rsid w:val="00F8213F"/>
    <w:rsid w:val="00F847EB"/>
    <w:rsid w:val="00F91B36"/>
    <w:rsid w:val="00F973E9"/>
    <w:rsid w:val="00FA480D"/>
    <w:rsid w:val="00FC1E1D"/>
    <w:rsid w:val="00FC335B"/>
    <w:rsid w:val="00FE3AC4"/>
    <w:rsid w:val="00FF60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936718174">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57647587">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germany-eu-scoreboard-country-fiches-2022-data/1680b065f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germany/1680b1df68" TargetMode="External"/><Relationship Id="rId5" Type="http://schemas.openxmlformats.org/officeDocument/2006/relationships/webSettings" Target="webSettings.xml"/><Relationship Id="rId15" Type="http://schemas.openxmlformats.org/officeDocument/2006/relationships/hyperlink" Target="https://www.venice.coe.int/webforms/documents/default.aspx?pdffile=CDL-PI(2024)031-bil" TargetMode="External"/><Relationship Id="rId10" Type="http://schemas.openxmlformats.org/officeDocument/2006/relationships/hyperlink" Target="http://www.coe.int/en/web/cepej/cepej-sta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rm.coe.int/fourth-evaluation-round-prevention-of-corruption-in-respect-of-members/1680b0d2f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2025-01-20T14:38:00Z</dcterms:created>
  <dcterms:modified xsi:type="dcterms:W3CDTF">2025-02-03T07:07:00Z</dcterms:modified>
</cp:coreProperties>
</file>